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июля 2011 г. N 558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ТРЕБОВАНИЙ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УСЛОВИЯМ ПРЕБЫВАНИЯ ДЕТЕЙ В ОРГАНИЗАЦИЯХ ДЛЯ ДЕТЕЙ-СИРОТ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ДЕТЕЙ, ОСТАВШИХСЯ БЕЗ ПОПЕЧЕНИЯ РОДИТЕЛЕЙ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155(1)</w:t>
        </w:r>
      </w:hyperlink>
      <w:r>
        <w:rPr>
          <w:rFonts w:ascii="Calibri" w:hAnsi="Calibri" w:cs="Calibri"/>
        </w:rPr>
        <w:t xml:space="preserve"> Семейного кодекса Российской Федерации Правительство Российской Федерации постановляет: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6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условиям пребывания детей в организациях для детей-сирот и детей, оставшихся без попечения родителей.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Утверждены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июля 2011 г. N 558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ТРЕБОВАНИЯ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УСЛОВИЯМ ПРЕБЫВАНИЯ ДЕТЕЙ В ОРГАНИЗАЦИЯХ ДЛЯ ДЕТЕЙ-СИРОТ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ДЕТЕЙ, ОСТАВШИХСЯ БЕЗ ПОПЕЧЕНИЯ РОДИТЕЛЕЙ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7" w:history="1">
        <w:proofErr w:type="gramStart"/>
        <w:r>
          <w:rPr>
            <w:rFonts w:ascii="Calibri" w:hAnsi="Calibri" w:cs="Calibri"/>
            <w:color w:val="0000FF"/>
          </w:rPr>
          <w:t>Организации</w:t>
        </w:r>
      </w:hyperlink>
      <w:r>
        <w:rPr>
          <w:rFonts w:ascii="Calibri" w:hAnsi="Calibri" w:cs="Calibri"/>
        </w:rPr>
        <w:t xml:space="preserve"> для детей-сирот и детей, оставшихся без попечения родителей (далее - организации), обеспечивают условия пребывания в них детей-сирот и детей, оставшихся без попечения родителей (далее - дети), отвечающие требованиям пожарной безопасности, санитарно-эпидемиологических </w:t>
      </w:r>
      <w:hyperlink r:id="rId8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и нормативов и иным требованиям законодательства Российской Федерации, а также содержание, воспитание, образование детей, защиту их прав и законных интересов.</w:t>
      </w:r>
      <w:proofErr w:type="gramEnd"/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Материальное обеспечение детей, находящихся в государственных и муниципальных учреждениях, осуществляется на основе полного государственного обеспечения.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организациях создаются благоприятные условия пребывания, способствующие интеллектуальному, эмоциональному, духовному, нравственному и физическому развитию детей.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4. В зданиях и сооружениях организаций должны быть предусмотрены следующие функциональные помещения:</w:t>
      </w:r>
      <w:bookmarkStart w:id="4" w:name="_GoBack"/>
      <w:bookmarkEnd w:id="4"/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проживания детей;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хранения, приготовления и приема пищи;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общевоспитательного назначения;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для занятий спортом;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для медицинского обслуживания;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для проведения реабилитационных мероприятий;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административно-хозяйственного назначения;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санитарные узлы.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Помещения, указанные в </w:t>
      </w:r>
      <w:hyperlink w:anchor="Par33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документа, должны соответствовать установленным требованиям пожарной безопасности, санитарно-эпидемиологических </w:t>
      </w:r>
      <w:hyperlink r:id="rId9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и нормативов, а также иным требованиям законодательства Российской Федерации.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помещений, их функциональное назначение и наполняемость определяются администрацией организации с учетом возраста, состояния здоровья и индивидуальных особенностей развития детей, а также соблюдения санитарных </w:t>
      </w:r>
      <w:hyperlink r:id="rId10" w:history="1">
        <w:r>
          <w:rPr>
            <w:rFonts w:ascii="Calibri" w:hAnsi="Calibri" w:cs="Calibri"/>
            <w:color w:val="0000FF"/>
          </w:rPr>
          <w:t>норм</w:t>
        </w:r>
      </w:hyperlink>
      <w:r>
        <w:rPr>
          <w:rFonts w:ascii="Calibri" w:hAnsi="Calibri" w:cs="Calibri"/>
        </w:rPr>
        <w:t xml:space="preserve"> и норм предельной наполняемости указанных помещений, установленных законодательством Российской Федерации.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организации оборудуется отдельное помещение, предназначенное для обеспечения ограничительных мероприятий (карантина) в отношении детей с инфекционными заболеваниями (подозрением на инфекционные заболевания) до их помещения в соответствующую медицинскую организацию, а также в отношении вновь поступающих детей, не имеющих документов о состоянии здоровья.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Организация обеспечивает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 в соответствии с возрастом и особенностями развития детей.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Технические, аудиовизуальные и иные средства воспитания и обучения, мебель, издательская продукция, оборудование и инвентарь должны отвечать требованиям санитарно-эпидемиологических </w:t>
      </w:r>
      <w:hyperlink r:id="rId11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и нормативов, а также требованиям к безопасности продукции, установленным законодательством Российской Федерации.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Организация питания детей осуществляется в соответствии с физиологическими нормами, возрастом и состоянием здоровья детей.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обеспечивает соблюдение безопасности, качества и режима питания в соответствии с санитарно-гигиеническими и санитарно-эпидемиологическими </w:t>
      </w:r>
      <w:hyperlink r:id="rId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Отдых и (или) оздоровление детей в организациях в каникулярный период осуществляются в соответствии с планом, утверждаемым руководителем организации, включающим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На период пребывания детей в организации обеспечиваются: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воспитание детей и получение ими образования с учетом возраста и индивидуальных особенностей. 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психологическое сопровождение воспитательной и образовательной деятельности, а также консультативная, реабилитационная и профилактическая работа с детьми;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охрана здоровья и оздоровление детей, своевременное получение ими квалифицированной бесплатной медицинской помощи и санаторно-курортного лечения (при наличии показаний);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защита прав и законных интересов детей, а также социальная адаптация детей, в том числе выпускников организации. В целях защиты прав и законных интересов детей организация взаимодействует с органами опеки и попечительства, органами, осуществляющими управление в сфере образования, органами управления здравоохранением, органами социальной защиты населения и иными государственными органами, организациями и службами;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необходимые мероприятия, направленные на компенсацию и (или) коррекцию недостатков физического и (или) психического развития, а также отклонений в поведении детей с ограниченными возможностями здоровья и (или) отклонениями в поведении;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ведение в установленном порядке личных дел детей.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 работу в организацию принимаются лица, имеющие необходимую профессиональную квалификацию, которая соответствует требованиям квалификационной характеристики по должности, с учетом ограничений, установленных законодательством Российской Федерации.</w:t>
      </w: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E1D" w:rsidRDefault="00DD7E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84FF7" w:rsidRDefault="00984FF7"/>
    <w:sectPr w:rsidR="00984FF7" w:rsidSect="002B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1D"/>
    <w:rsid w:val="007C7951"/>
    <w:rsid w:val="00984FF7"/>
    <w:rsid w:val="00D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13F0B4CDC6F972C0F22B3F71F086485FA1722E28A1C99AAC09E972676o2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13F0B4CDC6F972C0F22B3F71F086485FD1721EB8F1C99AAC09E9726628DCBF1B05EA693E8BB6677oDA" TargetMode="External"/><Relationship Id="rId12" Type="http://schemas.openxmlformats.org/officeDocument/2006/relationships/hyperlink" Target="consultantplus://offline/ref=47C13F0B4CDC6F972C0F22B3F71F086485FA1722E28A1C99AAC09E972676o2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13F0B4CDC6F972C0F22B3F71F086485F91B24E68E1C99AAC09E9726628DCBF1B05EA079o7A" TargetMode="External"/><Relationship Id="rId11" Type="http://schemas.openxmlformats.org/officeDocument/2006/relationships/hyperlink" Target="consultantplus://offline/ref=47C13F0B4CDC6F972C0F22B3F71F086485FA1722E28A1C99AAC09E972676o2A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7C13F0B4CDC6F972C0F22B3F71F086485FA1722E28A1C99AAC09E972676o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C13F0B4CDC6F972C0F22B3F71F086485FA1722E28A1C99AAC09E972676o2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2015-06-10T00:40:00Z</dcterms:created>
  <dcterms:modified xsi:type="dcterms:W3CDTF">2015-06-10T00:41:00Z</dcterms:modified>
</cp:coreProperties>
</file>